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733" w:rsidRDefault="00203733">
      <w:pPr>
        <w:pStyle w:val="normal0"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XI JORNADAS ARQUITECTURA INVESTIGA 2019</w:t>
      </w:r>
    </w:p>
    <w:p w:rsidR="00203733" w:rsidRDefault="00203733">
      <w:pPr>
        <w:pStyle w:val="normal0"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3733" w:rsidRDefault="00203733">
      <w:pPr>
        <w:pStyle w:val="normal0"/>
        <w:spacing w:after="80" w:line="240" w:lineRule="auto"/>
        <w:jc w:val="both"/>
        <w:rPr>
          <w:b/>
        </w:rPr>
      </w:pPr>
      <w:r>
        <w:rPr>
          <w:b/>
        </w:rPr>
        <w:t xml:space="preserve">LA ENSEÑANZA EN EL ÁREA DE LA EXPRESIÓN GRÁFICA: UNA EXPERIENCIA DE INVESTIGACIÓN-ACCIÓN EN EL ENTORNO </w:t>
      </w:r>
      <w:r>
        <w:rPr>
          <w:b/>
          <w:sz w:val="23"/>
          <w:szCs w:val="23"/>
          <w:highlight w:val="white"/>
        </w:rPr>
        <w:t>BLENDED LEARNING</w:t>
      </w:r>
      <w:r>
        <w:rPr>
          <w:b/>
        </w:rPr>
        <w:t>.</w:t>
      </w:r>
    </w:p>
    <w:p w:rsidR="00203733" w:rsidRDefault="00203733">
      <w:pPr>
        <w:pStyle w:val="normal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Marina. Cristián</w:t>
      </w:r>
      <w:r>
        <w:rPr>
          <w:rFonts w:ascii="Times New Roman" w:hAnsi="Times New Roman" w:cs="Times New Roman"/>
          <w:sz w:val="24"/>
          <w:szCs w:val="24"/>
        </w:rPr>
        <w:t>; Gamboa, Nidia; Caffaro, Cecilia; Pagliarusco, Horacio; Savino, Celina Mabel</w:t>
      </w:r>
    </w:p>
    <w:p w:rsidR="00203733" w:rsidRDefault="00203733">
      <w:pPr>
        <w:pStyle w:val="normal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Universidad Nacional de Rosario. Facultad de Arquitectura, Planeamiento y Diseño. Área de Teoría y Técnica del Proyecto Arquitectónico - Materias: Geometría Descriptiva y Expresión Gráfica. </w:t>
      </w:r>
    </w:p>
    <w:p w:rsidR="00203733" w:rsidRDefault="00203733">
      <w:pPr>
        <w:pStyle w:val="normal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E-mail </w:t>
      </w:r>
      <w:hyperlink r:id="rId4">
        <w:r>
          <w:rPr>
            <w:rFonts w:ascii="Times New Roman" w:hAnsi="Times New Roman" w:cs="Times New Roman"/>
            <w:color w:val="1155CC"/>
            <w:sz w:val="24"/>
            <w:szCs w:val="24"/>
            <w:u w:val="single"/>
          </w:rPr>
          <w:t>cristianmarina@hotmail.com</w:t>
        </w:r>
      </w:hyperlink>
    </w:p>
    <w:p w:rsidR="00203733" w:rsidRDefault="00203733">
      <w:pPr>
        <w:pStyle w:val="normal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03733" w:rsidRDefault="00203733">
      <w:pPr>
        <w:pStyle w:val="normal0"/>
        <w:spacing w:after="8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La investigación en la acción del profesor universitario posibilita la mejora continua de la educación y la vinculación entre la teoría y la práctica. El objetivo de esta investigación es implementar un plan de acción pedagógico y metodológico en el campo virtual, integrando las acciones presenciales de las materias Geometría Descriptiva y Expresión Gráfica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</w:rPr>
        <w:t xml:space="preserve">con procesos en el Aula de la Plataforma Moodle. </w:t>
      </w:r>
    </w:p>
    <w:p w:rsidR="00203733" w:rsidRDefault="00203733">
      <w:pPr>
        <w:pStyle w:val="normal0"/>
        <w:spacing w:after="8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Schön sostiene que </w:t>
      </w:r>
      <w:r>
        <w:rPr>
          <w:rFonts w:ascii="Times New Roman" w:hAnsi="Times New Roman" w:cs="Times New Roman"/>
          <w:i/>
          <w:sz w:val="24"/>
          <w:szCs w:val="24"/>
        </w:rPr>
        <w:t>“La práctica profesional reflexiva permite al docente la construcción de conocimientos a través de la solución de problemas que se encuentran en la práctica; esto conlleva la construcción de un tipo de conocimiento desde las acciones para tomar decisiones mediante la utilización de estrategias y metodologías para innovar.”</w:t>
      </w:r>
      <w:r>
        <w:rPr>
          <w:rFonts w:ascii="Times New Roman" w:hAnsi="Times New Roman" w:cs="Times New Roman"/>
          <w:sz w:val="24"/>
          <w:szCs w:val="24"/>
        </w:rPr>
        <w:t xml:space="preserve"> Esta afirmación retoma la idea rectora de “aprender haciendo” y sobre la cual se apoya la propuesta de “aprendizaje reflexivo” para este proyecto.</w:t>
      </w:r>
    </w:p>
    <w:p w:rsidR="00203733" w:rsidRDefault="00203733">
      <w:pPr>
        <w:pStyle w:val="normal0"/>
        <w:spacing w:after="80" w:line="240" w:lineRule="auto"/>
        <w:jc w:val="both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</w:rPr>
        <w:t xml:space="preserve">La propuesta de acción contempló en el año 2018 acciones cíclicas de </w:t>
      </w:r>
      <w:r>
        <w:rPr>
          <w:rFonts w:ascii="Times New Roman" w:hAnsi="Times New Roman" w:cs="Times New Roman"/>
          <w:b/>
        </w:rPr>
        <w:t>investigación, acción y formación</w:t>
      </w:r>
      <w:r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basando las acciones en los principios de Kurt Lewin (1946). Se </w:t>
      </w:r>
      <w:r>
        <w:rPr>
          <w:rFonts w:ascii="Times New Roman" w:hAnsi="Times New Roman" w:cs="Times New Roman"/>
        </w:rPr>
        <w:t xml:space="preserve">generaron espacios periódicos de </w:t>
      </w:r>
      <w:r>
        <w:rPr>
          <w:rFonts w:ascii="Times New Roman" w:hAnsi="Times New Roman" w:cs="Times New Roman"/>
          <w:b/>
        </w:rPr>
        <w:t xml:space="preserve">evaluación, observación, registro y reflexión </w:t>
      </w:r>
      <w:r>
        <w:rPr>
          <w:rFonts w:ascii="Times New Roman" w:hAnsi="Times New Roman" w:cs="Times New Roman"/>
        </w:rPr>
        <w:t>sobre la propia práctica. Se concretó la planificación con colegas, instancias de reunión, análisis y observación de los resultados para el registro de las acciones pedagógicas en el proceso de enseñanza-aprendizaje presencial y virtual (Blended Learning) y así reformular acciones pedagógicas para el presente año lectivo.</w:t>
      </w:r>
    </w:p>
    <w:p w:rsidR="00203733" w:rsidRDefault="00203733">
      <w:pPr>
        <w:pStyle w:val="normal0"/>
        <w:spacing w:after="8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Se concretó un proceso disciplinado de investigación-acción, según modelo de Lewin, siguiendo una espiral de actividades en esta secuencia: Aclaración y diagnóstico de una situación problemática en la práctica</w:t>
      </w:r>
      <w:r>
        <w:rPr>
          <w:rFonts w:ascii="Times New Roman" w:hAnsi="Times New Roman" w:cs="Times New Roman"/>
          <w:i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>Formulación de estrategias de acción para resolver el problema; Implantación y evaluación de las estrategias de acción y Aclaración y diagnóstico posteriores de la situación problemática.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Cada ciclo se compuso de una serie de pasos: planificación, acción y evaluación de la acción.</w:t>
      </w:r>
    </w:p>
    <w:p w:rsidR="00203733" w:rsidRDefault="00203733">
      <w:pPr>
        <w:pStyle w:val="normal0"/>
        <w:spacing w:after="8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Para este segundo año de investigación nos proponemos un plan de acción sobre la base del primero, incluyendo en el proceso las categorías de Schön, D.A. (1987).: reflexión-sobre-la-acción y reflexión-en-la-acción con el objetivo de tener una visión retrospectiva de la comprensión adquirida y una reflexión efectuada a medida que se desarrolla la acción. </w:t>
      </w:r>
    </w:p>
    <w:sectPr w:rsidR="00203733" w:rsidSect="00655D52">
      <w:pgSz w:w="11909" w:h="16834"/>
      <w:pgMar w:top="1700" w:right="1417" w:bottom="1417" w:left="1700" w:header="720" w:footer="720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55D52"/>
    <w:rsid w:val="001E0197"/>
    <w:rsid w:val="00203733"/>
    <w:rsid w:val="0028340D"/>
    <w:rsid w:val="003F39FF"/>
    <w:rsid w:val="00655D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Arial" w:hAnsi="Arial" w:cs="Arial"/>
        <w:sz w:val="22"/>
        <w:szCs w:val="22"/>
        <w:lang w:val="es-AR" w:eastAsia="es-A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line="276" w:lineRule="auto"/>
    </w:pPr>
    <w:rPr>
      <w:lang/>
    </w:rPr>
  </w:style>
  <w:style w:type="paragraph" w:styleId="Heading1">
    <w:name w:val="heading 1"/>
    <w:basedOn w:val="normal0"/>
    <w:next w:val="normal0"/>
    <w:link w:val="Heading1Char"/>
    <w:uiPriority w:val="99"/>
    <w:qFormat/>
    <w:rsid w:val="00655D52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0"/>
    <w:next w:val="normal0"/>
    <w:link w:val="Heading2Char"/>
    <w:uiPriority w:val="99"/>
    <w:qFormat/>
    <w:rsid w:val="00655D52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0"/>
    <w:next w:val="normal0"/>
    <w:link w:val="Heading3Char"/>
    <w:uiPriority w:val="99"/>
    <w:qFormat/>
    <w:rsid w:val="00655D52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0"/>
    <w:next w:val="normal0"/>
    <w:link w:val="Heading4Char"/>
    <w:uiPriority w:val="99"/>
    <w:qFormat/>
    <w:rsid w:val="00655D52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0"/>
    <w:next w:val="normal0"/>
    <w:link w:val="Heading5Char"/>
    <w:uiPriority w:val="99"/>
    <w:qFormat/>
    <w:rsid w:val="00655D52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0"/>
    <w:next w:val="normal0"/>
    <w:link w:val="Heading6Char"/>
    <w:uiPriority w:val="99"/>
    <w:qFormat/>
    <w:rsid w:val="00655D52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E143B"/>
    <w:rPr>
      <w:rFonts w:asciiTheme="majorHAnsi" w:eastAsiaTheme="majorEastAsia" w:hAnsiTheme="majorHAnsi" w:cstheme="majorBidi"/>
      <w:b/>
      <w:bCs/>
      <w:kern w:val="32"/>
      <w:sz w:val="32"/>
      <w:szCs w:val="32"/>
      <w:lang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E143B"/>
    <w:rPr>
      <w:rFonts w:asciiTheme="majorHAnsi" w:eastAsiaTheme="majorEastAsia" w:hAnsiTheme="majorHAnsi" w:cstheme="majorBidi"/>
      <w:b/>
      <w:bCs/>
      <w:i/>
      <w:iCs/>
      <w:sz w:val="28"/>
      <w:szCs w:val="28"/>
      <w:lang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E143B"/>
    <w:rPr>
      <w:rFonts w:asciiTheme="majorHAnsi" w:eastAsiaTheme="majorEastAsia" w:hAnsiTheme="majorHAnsi" w:cstheme="majorBidi"/>
      <w:b/>
      <w:bCs/>
      <w:sz w:val="26"/>
      <w:szCs w:val="26"/>
      <w:lang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E143B"/>
    <w:rPr>
      <w:rFonts w:asciiTheme="minorHAnsi" w:eastAsiaTheme="minorEastAsia" w:hAnsiTheme="minorHAnsi" w:cstheme="minorBidi"/>
      <w:b/>
      <w:bCs/>
      <w:sz w:val="28"/>
      <w:szCs w:val="28"/>
      <w:lang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E143B"/>
    <w:rPr>
      <w:rFonts w:asciiTheme="minorHAnsi" w:eastAsiaTheme="minorEastAsia" w:hAnsiTheme="minorHAnsi" w:cstheme="minorBidi"/>
      <w:b/>
      <w:bCs/>
      <w:i/>
      <w:iCs/>
      <w:sz w:val="26"/>
      <w:szCs w:val="26"/>
      <w:lang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E143B"/>
    <w:rPr>
      <w:rFonts w:asciiTheme="minorHAnsi" w:eastAsiaTheme="minorEastAsia" w:hAnsiTheme="minorHAnsi" w:cstheme="minorBidi"/>
      <w:b/>
      <w:bCs/>
      <w:lang/>
    </w:rPr>
  </w:style>
  <w:style w:type="paragraph" w:customStyle="1" w:styleId="normal0">
    <w:name w:val="normal"/>
    <w:uiPriority w:val="99"/>
    <w:rsid w:val="00655D52"/>
    <w:pPr>
      <w:spacing w:line="276" w:lineRule="auto"/>
    </w:pPr>
    <w:rPr>
      <w:lang/>
    </w:rPr>
  </w:style>
  <w:style w:type="paragraph" w:styleId="Title">
    <w:name w:val="Title"/>
    <w:basedOn w:val="normal0"/>
    <w:next w:val="normal0"/>
    <w:link w:val="TitleChar"/>
    <w:uiPriority w:val="99"/>
    <w:qFormat/>
    <w:rsid w:val="00655D52"/>
    <w:pPr>
      <w:keepNext/>
      <w:keepLines/>
      <w:spacing w:after="60"/>
    </w:pPr>
    <w:rPr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9E143B"/>
    <w:rPr>
      <w:rFonts w:asciiTheme="majorHAnsi" w:eastAsiaTheme="majorEastAsia" w:hAnsiTheme="majorHAnsi" w:cstheme="majorBidi"/>
      <w:b/>
      <w:bCs/>
      <w:kern w:val="28"/>
      <w:sz w:val="32"/>
      <w:szCs w:val="32"/>
      <w:lang/>
    </w:rPr>
  </w:style>
  <w:style w:type="paragraph" w:styleId="Subtitle">
    <w:name w:val="Subtitle"/>
    <w:basedOn w:val="normal0"/>
    <w:next w:val="normal0"/>
    <w:link w:val="SubtitleChar"/>
    <w:uiPriority w:val="99"/>
    <w:qFormat/>
    <w:rsid w:val="00655D52"/>
    <w:pPr>
      <w:keepNext/>
      <w:keepLines/>
      <w:spacing w:after="320"/>
    </w:pPr>
    <w:rPr>
      <w:color w:val="666666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9E143B"/>
    <w:rPr>
      <w:rFonts w:asciiTheme="majorHAnsi" w:eastAsiaTheme="majorEastAsia" w:hAnsiTheme="majorHAnsi" w:cstheme="majorBidi"/>
      <w:sz w:val="24"/>
      <w:szCs w:val="24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cristianmarina@hot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</Pages>
  <Words>439</Words>
  <Characters>2417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XI JORNADAS ARQUITECTURA INVESTIGA 2019</dc:title>
  <dc:subject/>
  <dc:creator/>
  <cp:keywords/>
  <dc:description/>
  <cp:lastModifiedBy>bcicutti</cp:lastModifiedBy>
  <cp:revision>2</cp:revision>
  <dcterms:created xsi:type="dcterms:W3CDTF">2019-07-29T14:33:00Z</dcterms:created>
  <dcterms:modified xsi:type="dcterms:W3CDTF">2019-07-29T14:33:00Z</dcterms:modified>
</cp:coreProperties>
</file>